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Financieel kader onderwijshuisvesting (CDA).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353,87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3-12-VII-CDA-Fin-kader-onderwijshuisves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Lokaal transitieplan jeugdzorg (CU-SGP).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403,28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3-12-VI-CU-SGP-lokaal-transitieplan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Gemeentelijke schuldhulpverlening, recidive (GL).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622,59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3-12-V-GL-Gem-schuldhulpverlening-recidiv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GVV: detailhandel in de dorpen (VVD).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392,64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3-12-IV-VVD-GVV-detailhandel-in-de-d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Gemeentelijke Vestigingsvisie (D66).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280,48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3-12-III-D66-Gem-Vestigingsvis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Behandeling Structuurvisie (ONS).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336,36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3-12-IIa-ONS-Structuurvis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Structuurvisie Noordoostpolder 2025 (D66).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460,16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3-12-II-D66-Structuurvisi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Structuurvisie Noordoostpolder 2025 (VVD).
              <text:span text:style-name="T2"/>
            </text:p>
            <text:p text:style-name="P3"/>
          </table:table-cell>
          <table:table-cell table:style-name="Table3.A2" office:value-type="string">
            <text:p text:style-name="P4">10-12-2013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447,21 KB</text:p>
          </table:table-cell>
          <table:table-cell table:style-name="Table3.A2" office:value-type="string">
            <text:p text:style-name="P22">
              <text:a xlink:type="simple" xlink:href="https://raad.noordoostpolder.nl/Documenten/amendementen/Am-2013-12-I-VVD-Structuurvis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98" meta:character-count="692" meta:non-whitespace-character-count="65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