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Visienota NOP Energieneutraal, energiebesparing in de visienota (PvvP), ingetrokken.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10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Visienota NOP energieneutraal, Jaarlijks uitvoeringsprogramma energievisie, (PU)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913,96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10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Visienota NOP energieneutraal: Energiebesparing in visienota (SP),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790,54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1-10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Visienota NOP energie neutraal: streefdata energievisie Noordoostpolder, (VVD)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863,21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1-10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Visienota NOP energieneutraal, 
              <text:s/>
              Fossielvrij in 2040 (PvdA-GL),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911,36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1-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691" meta:non-whitespace-character-count="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