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Ambtenaren als ambasadeur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242,65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8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Financiële regeling lustrumviering (10-jarig bestaan) voor de dorpen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284,77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75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Gebiedspromotie World Patato City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394,18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7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Leefbaarheid in de dorpen behouden door sportverenigingen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255,79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7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Bestemmingsplan De Deel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725,48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7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Actualisatie distributie planologisch onderzoek Emmeloord (PvvP).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413,97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7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Financiële stresstest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325,61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7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Terugval reserve beleidsplan 2012-2015 (ONS).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287,62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70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Programmabegroting 2012-2015, voorraad strategische gronden (PU).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277,64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81E21309191416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22" meta:character-count="838" meta:non-whitespace-character-count="7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