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Woonvisie woonmilieus-leefstijlen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746,87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VI-D66--Woonvisie-woonmilieus-leefstij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Onderwijsraad (GL).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705,72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IX-GL--advies-Onderwij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 Onderwijsraad handhaving ondergrens (CDA).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401,29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VIII-CDA--adviesOnderwijsraad-handhaving-ondergr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Woonvisie: uitwerking in beleidsplan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311,64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VII-D66--Woonvisie-uitwerking-in-beleid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Woonvisie: startersleningen (CDA).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404,41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V-CDA--Woonvisie-startersle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Woonvisie: uitbreidingsmogelijkheden (VVD).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467,27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IV-VVD--Woonvisie-uitbreidingsmogelijk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Woonvisie: prioritering herstructurering (ONS).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420,05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II-ONS--Woonvisie-prioritering-herstructur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Woonvisie: grondprijsverlaging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347,69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2-I-PU--Woonvisie-grondprijsverla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6.2 
              <text:s/>
              Motie 2012-12 D66 referendumverordening[1].pdf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48,96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Bestuur---------------------Financien-en-Economische-zaken/2013/8-april/19:30/Keuzenota-naar-aanleiding-an-raadsmotie-over-een-referendumverordening./6-2-Motie-2012-12-D66-referendumverorden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6" meta:character-count="762" meta:non-whitespace-character-count="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