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Begroting: terugkeer 
              <text:s/>
              VVV in poldertoren (ONS).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531,95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2014-11-IX-ONS---VVV-polderto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Begroting: Canon vertaling.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492,08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File-00206B829782141125112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van treurnis, weth. Wijnants (SP e.a.)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Gebiedsconcept-Wellerwaard-/Motie-11-XIV-mvtreurnis-weth-Wijnant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huisvestingsmogelijkheden statushouders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Motie-Verruiming-plaatsingsmogelijheden-statushouders-PvdA-GL-/Motie-11-XIII-huisvest-mogelijkheden-statushoud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Leges evenementen (VVD e.a.).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Aanpassing-belasting--en-retributieverordeningen-/Motie-11-XI-leges-evenem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Begroting: beveiliging kunstbeelden (ONS).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11-X-beveiliging-kunstbeel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Begroting: Buitendijkse haven (CU-SGP, D66).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11-VII-Buitendijkse-hav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Begroting: De Deel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362,53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11-VI--Stadshart-de-De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Begroting: creatieve commissie De Deel (VVD).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11-V-creatieve-cie-De-D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Begroting: informatievoorziening (ONS, PU).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478,48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11-IV-informatievoorzi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Begroting: Meerjarenperspectief vreemd vermogen (ONS, PU).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382,99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11-II-vreemd-vermo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Begroting: dependence werkplein (PvvP).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11-I-dependence-werkpl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Beveiliging kunstbeelden, bijlage 4 (ONS).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2014-11-X-ONS-Kunst-BIJL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Beveiliging kunstbeelden, bijlage 3 (ONS).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2014-11-X-ONS-Kunst-BIJL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Beveiliging kunstbeelden, bijlage 2 (ONS).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2014-11-X-ONS-Kunst-BIJ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Beveiliging kunstbeelden, bijlage 1 (ONS).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688,40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2014-11-X-ONS-Kunst-BIJ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Begroting: Canon bijlage (ONS).
              <text:span text:style-name="T2"/>
            </text:p>
            <text:p text:style-name="P3"/>
          </table:table-cell>
          <table:table-cell table:style-name="Table3.A2" office:value-type="string">
            <text:p text:style-name="P4">30-10-2014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10-november/13:30/Begroting-2015-2018-/Motie-2014-11-VIII-ONS-Canon-BIJL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Evaluatie termijn Participatiewet - mensen met een beperking.
              <text:span text:style-name="T2"/>
            </text:p>
            <text:p text:style-name="P3"/>
          </table:table-cell>
          <table:table-cell table:style-name="Table3.A2" office:value-type="string">
            <text:p text:style-name="P4">14-10-2014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264,94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SP-2014-10-VIII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Respijtzorg (CDA).
              <text:span text:style-name="T2"/>
            </text:p>
            <text:p text:style-name="P3"/>
          </table:table-cell>
          <table:table-cell table:style-name="Table3.A2" office:value-type="string">
            <text:p text:style-name="P4">10-10-2014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375,00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6-oktober/19:30/Beleidsplan-sociaal-domein-en-Verordeningen-Wmo-en-Jeugdzorg-/Motie-2014-10-VI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Verruiming plaatsingsbeleid statushouders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377,32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6-oktober/19:30/Motie-Verruiming-plaatsingsmogelijheden-statushouders-PvdA-GL-/Motie-2014-10-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Zachte landing HH1 zorg voor werknemers (PvvP).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6-oktober/19:30/Motie-Zachte-landing-HH-1-zorg-PvvP-/Motie-2014-10-I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Glasvezelnetwerk (CDA).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6-oktober/19:30/Motie-Glasvezelnetwerk-CDA-/Motie-2014-10-III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Ombudsfunctie (PvdA-GL).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378,84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6-oktober/19:30/Beleidsplan-sociaal-domein-en-Verordeningen-Wmo-en-Jeugdzorg-/Motie-2014-10-II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Teamsamenstelling Sociale Wijk Teams (SP).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347,61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6-oktober/19:30/Beleidsplan-sociaal-domein-en-Verordeningen-Wmo-en-Jeugdzorg-/Motie-2014-10-II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Stimuleringsfonds bewonersinitiatieven (D66).
              <text:span text:style-name="T2"/>
            </text:p>
            <text:p text:style-name="P3"/>
          </table:table-cell>
          <table:table-cell table:style-name="Table3.A2" office:value-type="string">
            <text:p text:style-name="P4">08-10-2014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590,13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4/6-oktober/19:30/Beleidsplan-sociaal-domein-en-Verordeningen-Wmo-en-Jeugdzorg-/Motie-2014-10-I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ONS burgemeestersnorm.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68,87 KB</text:p>
          </table:table-cell>
          <table:table-cell table:style-name="Table3.A2" office:value-type="string">
            <text:p text:style-name="P22">
              <text:a xlink:type="simple" xlink:href="https://raad.noordoostpolder.nl/Vergaderingen/Commissie-Bestuur--Financien-en-Economische-zaken/2014/27-oktober/19:30/Motie-burgemeestersnorm-ONS/6-0-Motie-ONS-burgemeestersnor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PU petflessen.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92,88 KB</text:p>
          </table:table-cell>
          <table:table-cell table:style-name="Table3.A2" office:value-type="string">
            <text:p text:style-name="P22">
              <text:a xlink:type="simple" xlink:href="https://raad.noordoostpolder.nl/Vergaderingen/Commissie-Woonomgeving/2014/27-oktober/19:30/Motie-Petflessen-en-blik-PU-/10-0-Motie-2014-11-PU-petfless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Uitvoeringsprogramma voorleggen aan raad ter besluitvorming (SP).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250,09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-SP-2014-10-VII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 PvdA-GL verruiming plaatsingsbeleid statushouders.
              <text:span text:style-name="T2"/>
            </text:p>
            <text:p text:style-name="P3"/>
          </table:table-cell>
          <table:table-cell table:style-name="Table3.A2" office:value-type="string">
            <text:p text:style-name="P4">07-10-2014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noordoostpolder.nl/Vergaderingen/Commissie-Woonomgeving/2014/27-oktober/19:30/Motie-Verruiming-plaatsingsmogelijkheden-statushouders-PvdA-GL-/7-0-Motie-PvdA-GL-verruiming-plaatsingsbeleid-statushouder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24" meta:character-count="2209" meta:non-whitespace-character-count="20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